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both"/>
        <w:rPr>
          <w:rFonts w:ascii="黑体" w:hAnsi="宋体" w:eastAsia="黑体" w:cs="黑体"/>
          <w:i w:val="0"/>
          <w:iCs w:val="0"/>
          <w:caps w:val="0"/>
          <w:color w:val="676767"/>
          <w:spacing w:val="0"/>
          <w:sz w:val="31"/>
          <w:szCs w:val="31"/>
        </w:rPr>
      </w:pPr>
      <w:r>
        <w:rPr>
          <w:rFonts w:hint="eastAsia" w:ascii="黑体" w:hAnsi="宋体" w:eastAsia="黑体" w:cs="黑体"/>
          <w:i w:val="0"/>
          <w:iCs w:val="0"/>
          <w:caps w:val="0"/>
          <w:color w:val="676767"/>
          <w:spacing w:val="0"/>
          <w:sz w:val="31"/>
          <w:szCs w:val="31"/>
          <w:shd w:val="clear" w:fill="FFFFFF"/>
        </w:rPr>
        <w:t>附件1</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79"/>
        <w:gridCol w:w="20"/>
        <w:gridCol w:w="728"/>
        <w:gridCol w:w="1124"/>
        <w:gridCol w:w="1551"/>
        <w:gridCol w:w="511"/>
        <w:gridCol w:w="67"/>
        <w:gridCol w:w="603"/>
        <w:gridCol w:w="465"/>
        <w:gridCol w:w="210"/>
        <w:gridCol w:w="958"/>
        <w:gridCol w:w="167"/>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06" w:type="dxa"/>
            <w:gridSpan w:val="13"/>
            <w:tcBorders>
              <w:top w:val="nil"/>
              <w:left w:val="nil"/>
              <w:bottom w:val="nil"/>
              <w:right w:val="nil"/>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黑体" w:hAnsi="宋体" w:eastAsia="黑体" w:cs="黑体"/>
                <w:sz w:val="36"/>
                <w:szCs w:val="36"/>
              </w:rPr>
            </w:pPr>
            <w:r>
              <w:rPr>
                <w:rFonts w:hint="eastAsia" w:ascii="黑体" w:hAnsi="宋体" w:eastAsia="黑体" w:cs="黑体"/>
                <w:i w:val="0"/>
                <w:iCs w:val="0"/>
                <w:caps w:val="0"/>
                <w:color w:val="000000"/>
                <w:spacing w:val="0"/>
                <w:sz w:val="36"/>
                <w:szCs w:val="36"/>
              </w:rPr>
              <w:t>退（抵）税申请表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06" w:type="dxa"/>
            <w:gridSpan w:val="13"/>
            <w:tcBorders>
              <w:top w:val="nil"/>
              <w:left w:val="nil"/>
              <w:bottom w:val="single" w:color="auto" w:sz="4" w:space="0"/>
              <w:right w:val="nil"/>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right"/>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金额单位：元，至角分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7" w:hRule="atLeast"/>
        </w:trPr>
        <w:tc>
          <w:tcPr>
            <w:tcW w:w="235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申请人名称</w:t>
            </w:r>
          </w:p>
        </w:tc>
        <w:tc>
          <w:tcPr>
            <w:tcW w:w="212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4126"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纳税人□     扣缴义务人□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35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纳税人名称</w:t>
            </w:r>
          </w:p>
        </w:tc>
        <w:tc>
          <w:tcPr>
            <w:tcW w:w="212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2236"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统一社会信用代码（纳税人识别号）</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4" w:hRule="atLeast"/>
        </w:trPr>
        <w:tc>
          <w:tcPr>
            <w:tcW w:w="235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联系人姓名</w:t>
            </w:r>
          </w:p>
        </w:tc>
        <w:tc>
          <w:tcPr>
            <w:tcW w:w="212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2236"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联系电话</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1" w:hRule="atLeast"/>
        </w:trPr>
        <w:tc>
          <w:tcPr>
            <w:tcW w:w="235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申请退税类型</w:t>
            </w:r>
          </w:p>
        </w:tc>
        <w:tc>
          <w:tcPr>
            <w:tcW w:w="6255"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汇算结算退税□      误收退税□      留抵退税□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06" w:type="dxa"/>
            <w:gridSpan w:val="1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一、汇算结算、误收税款退税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原完税情况</w:t>
            </w:r>
          </w:p>
        </w:tc>
        <w:tc>
          <w:tcPr>
            <w:tcW w:w="187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税种</w:t>
            </w:r>
          </w:p>
        </w:tc>
        <w:tc>
          <w:tcPr>
            <w:tcW w:w="1551"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品目名称</w:t>
            </w:r>
          </w:p>
        </w:tc>
        <w:tc>
          <w:tcPr>
            <w:tcW w:w="1856"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税款所属时期</w:t>
            </w: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税票号码</w:t>
            </w:r>
          </w:p>
        </w:tc>
        <w:tc>
          <w:tcPr>
            <w:tcW w:w="1723"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实缴金额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87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551"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856"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723"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87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551"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856"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723"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87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856"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c>
          <w:tcPr>
            <w:tcW w:w="1723"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wordWrap/>
              <w:ind w:left="0" w:firstLine="0"/>
              <w:jc w:val="left"/>
              <w:rPr>
                <w:rFonts w:hint="eastAsia"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1" w:hRule="atLeast"/>
        </w:trPr>
        <w:tc>
          <w:tcPr>
            <w:tcW w:w="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87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合计（小写）</w:t>
            </w:r>
          </w:p>
        </w:tc>
        <w:tc>
          <w:tcPr>
            <w:tcW w:w="1551"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856"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c>
          <w:tcPr>
            <w:tcW w:w="1723" w:type="dxa"/>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1" w:hRule="atLeast"/>
        </w:trPr>
        <w:tc>
          <w:tcPr>
            <w:tcW w:w="235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申请退税金额（小写）</w:t>
            </w:r>
          </w:p>
        </w:tc>
        <w:tc>
          <w:tcPr>
            <w:tcW w:w="6255"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8606" w:type="dxa"/>
            <w:gridSpan w:val="13"/>
            <w:tcBorders>
              <w:top w:val="single" w:color="auto" w:sz="4" w:space="0"/>
              <w:left w:val="single" w:color="000000" w:sz="2" w:space="0"/>
              <w:bottom w:val="single" w:color="auto" w:sz="4"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二、留抵退税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增量留抵税额大于零，且申请退税前连续 12 个月（或实际经营期至少 3 个月）生产并销售“非金属矿物制品”“通用设备”“专用设备”“计算机、通信和其他电子设备”“医药”“化学纤维”“铁路、船舶、航空航天和其他运输设备”“电气机械和器材”“仪器仪表”销售额占全部销售额的比重超过 50%</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月至</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月生产并销售</w:t>
            </w:r>
            <w:r>
              <w:rPr>
                <w:rFonts w:hint="eastAsia" w:ascii="宋体" w:hAnsi="宋体" w:eastAsia="宋体" w:cs="宋体"/>
                <w:color w:val="000000"/>
                <w:kern w:val="0"/>
                <w:sz w:val="22"/>
                <w:szCs w:val="22"/>
                <w:lang w:val="en-US" w:eastAsia="zh-CN" w:bidi="ar"/>
              </w:rPr>
              <w:t>“非金属矿物制品”“通用设备”“专用设备”“计算机、通信和其他电子设备” “医药”“化学纤维”“铁路、船舶、航空航天和其他运输设备”“电气机械和器材”“仪器仪表”</w:t>
            </w:r>
            <w:r>
              <w:rPr>
                <w:rFonts w:hint="eastAsia" w:ascii="宋体" w:hAnsi="宋体" w:eastAsia="宋体" w:cs="宋体"/>
                <w:i w:val="0"/>
                <w:iCs w:val="0"/>
                <w:caps w:val="0"/>
                <w:color w:val="000000"/>
                <w:spacing w:val="0"/>
                <w:sz w:val="22"/>
                <w:szCs w:val="22"/>
                <w:lang w:eastAsia="zh-CN"/>
              </w:rPr>
              <w:t>销售</w:t>
            </w:r>
            <w:r>
              <w:rPr>
                <w:rFonts w:hint="eastAsia" w:ascii="宋体" w:hAnsi="宋体" w:eastAsia="宋体" w:cs="宋体"/>
                <w:i w:val="0"/>
                <w:iCs w:val="0"/>
                <w:caps w:val="0"/>
                <w:color w:val="000000"/>
                <w:spacing w:val="0"/>
                <w:sz w:val="22"/>
                <w:szCs w:val="22"/>
              </w:rPr>
              <w:t>额</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，同期全部销售</w:t>
            </w:r>
            <w:r>
              <w:rPr>
                <w:rFonts w:hint="eastAsia" w:ascii="宋体" w:hAnsi="宋体" w:eastAsia="宋体" w:cs="宋体"/>
                <w:i w:val="0"/>
                <w:iCs w:val="0"/>
                <w:caps w:val="0"/>
                <w:color w:val="000000"/>
                <w:spacing w:val="0"/>
                <w:sz w:val="22"/>
                <w:szCs w:val="22"/>
                <w:lang w:eastAsia="zh-CN"/>
              </w:rPr>
              <w:t>额</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，占比</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连续六个月（按季纳税的，连续两个季度）增量留抵税额均大于零的起止时间：</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月至</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年</w:t>
            </w: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申请退税前36个月未发生骗取留抵退税、出口退税或虚开增值税专用发票情形</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申请退税前36个月未因偷税被税务机关处罚两次及以上</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自2019年4月1日起未享受即征即退、先征后返（退）政策</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出口货物劳务、发生跨境应税行为，适用免抵退税办法</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71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本期已申报免抵退税应退税额</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2019年4月至申请退税前一税款所属期已抵扣的增值税专用发票（含税控机动车销售统一发票）注明的增值税额</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2019年4月至申请退税前一税款所属期已抵扣的海关进口增值税专用缴款书注明的增值税额</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2019年4月至申请退税前一税款所属期已抵扣的解缴税款完税凭证注明的增值税额</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2019年4月至申请退税前一税款所属期全部已抵扣的进项税额</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758"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本期申请退还的增量留抵税额</w:t>
            </w:r>
          </w:p>
        </w:tc>
        <w:tc>
          <w:tcPr>
            <w:tcW w:w="284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2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退税申请理由</w:t>
            </w:r>
          </w:p>
        </w:tc>
        <w:tc>
          <w:tcPr>
            <w:tcW w:w="7379"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经办人：                    （公章）</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99" w:type="dxa"/>
            <w:gridSpan w:val="2"/>
            <w:tcBorders>
              <w:top w:val="single" w:color="auto" w:sz="4" w:space="0"/>
              <w:left w:val="single" w:color="000000" w:sz="2" w:space="0"/>
              <w:bottom w:val="single" w:color="000000" w:sz="2"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授权声明</w:t>
            </w:r>
          </w:p>
        </w:tc>
        <w:tc>
          <w:tcPr>
            <w:tcW w:w="4584" w:type="dxa"/>
            <w:gridSpan w:val="6"/>
            <w:tcBorders>
              <w:top w:val="single" w:color="auto" w:sz="4" w:space="0"/>
              <w:left w:val="single" w:color="000000" w:sz="2" w:space="0"/>
              <w:bottom w:val="single" w:color="000000" w:sz="2"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如果你已委托代理人申请，请填写下列资料：</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xml:space="preserve"> 为代理相关税务事宜，现授权               </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（地址）           </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single"/>
              </w:rPr>
              <w:t>                        </w:t>
            </w:r>
            <w:r>
              <w:rPr>
                <w:rFonts w:hint="eastAsia" w:ascii="宋体" w:hAnsi="宋体" w:eastAsia="宋体" w:cs="宋体"/>
                <w:i w:val="0"/>
                <w:iCs w:val="0"/>
                <w:caps w:val="0"/>
                <w:color w:val="000000"/>
                <w:spacing w:val="0"/>
                <w:sz w:val="22"/>
                <w:szCs w:val="22"/>
              </w:rPr>
              <w:t>为本纳税人的代理申请人，任何与本申请有关的往来文件，都可寄于此人。</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授权人签章：</w:t>
            </w:r>
          </w:p>
        </w:tc>
        <w:tc>
          <w:tcPr>
            <w:tcW w:w="465" w:type="dxa"/>
            <w:tcBorders>
              <w:top w:val="single" w:color="auto" w:sz="4" w:space="0"/>
              <w:left w:val="single" w:color="000000" w:sz="2" w:space="0"/>
              <w:bottom w:val="single" w:color="000000" w:sz="2"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声</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明</w:t>
            </w:r>
          </w:p>
        </w:tc>
        <w:tc>
          <w:tcPr>
            <w:tcW w:w="3058" w:type="dxa"/>
            <w:gridSpan w:val="4"/>
            <w:tcBorders>
              <w:top w:val="single" w:color="auto" w:sz="4" w:space="0"/>
              <w:left w:val="single" w:color="000000" w:sz="2" w:space="0"/>
              <w:bottom w:val="single" w:color="000000" w:sz="2"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此表是根据国家税收法律法规及相关规定填写的，对填报内容（及附带资料）的真实性、可靠性、完整性负责。</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申请人签章：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06" w:type="dxa"/>
            <w:gridSpan w:val="13"/>
            <w:tcBorders>
              <w:top w:val="single" w:color="000000" w:sz="2" w:space="0"/>
              <w:left w:val="single" w:color="000000" w:sz="2" w:space="0"/>
              <w:bottom w:val="single" w:color="auto" w:sz="4" w:space="0"/>
              <w:right w:val="single" w:color="000000" w:sz="2"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以下由税务机关填写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2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受理情况</w:t>
            </w:r>
          </w:p>
        </w:tc>
        <w:tc>
          <w:tcPr>
            <w:tcW w:w="7379"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受理人：     </w:t>
            </w:r>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13"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核实部门意见：</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xml:space="preserve"> 退还方式： 退库□    抵扣欠税□</w:t>
            </w:r>
          </w:p>
          <w:p>
            <w:pPr>
              <w:pStyle w:val="2"/>
              <w:keepNext w:val="0"/>
              <w:keepLines w:val="0"/>
              <w:widowControl/>
              <w:suppressLineNumbers w:val="0"/>
              <w:wordWrap/>
              <w:spacing w:before="0" w:beforeAutospacing="0" w:after="0" w:afterAutospacing="0"/>
              <w:ind w:left="0" w:right="0" w:firstLine="220" w:firstLineChars="10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退税类型： 汇算结算退税□   </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误收退税□</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留抵退税□</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退税发起方式：纳税人自行申请□   </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税务机关发现并通知□</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退（抵）税金额：</w:t>
            </w:r>
          </w:p>
          <w:p>
            <w:pPr>
              <w:pStyle w:val="2"/>
              <w:keepNext w:val="0"/>
              <w:keepLines w:val="0"/>
              <w:widowControl/>
              <w:suppressLineNumbers w:val="0"/>
              <w:wordWrap/>
              <w:spacing w:before="0" w:beforeAutospacing="0" w:after="0" w:afterAutospacing="0"/>
              <w:ind w:left="0" w:right="0" w:firstLine="550"/>
              <w:jc w:val="both"/>
              <w:rPr>
                <w:rFonts w:hint="eastAsia" w:ascii="宋体" w:hAnsi="宋体" w:eastAsia="宋体" w:cs="宋体"/>
                <w:i w:val="0"/>
                <w:iCs w:val="0"/>
                <w:caps w:val="0"/>
                <w:color w:val="000000"/>
                <w:spacing w:val="0"/>
                <w:sz w:val="22"/>
                <w:szCs w:val="22"/>
              </w:rPr>
            </w:pPr>
          </w:p>
          <w:p>
            <w:pPr>
              <w:pStyle w:val="2"/>
              <w:keepNext w:val="0"/>
              <w:keepLines w:val="0"/>
              <w:widowControl/>
              <w:suppressLineNumbers w:val="0"/>
              <w:wordWrap/>
              <w:spacing w:before="0" w:beforeAutospacing="0" w:after="0" w:afterAutospacing="0"/>
              <w:ind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lang w:val="en-US" w:eastAsia="zh-CN"/>
              </w:rPr>
              <w:t>经办人：           负责人：</w:t>
            </w:r>
            <w:r>
              <w:rPr>
                <w:rFonts w:hint="eastAsia" w:ascii="宋体" w:hAnsi="宋体" w:eastAsia="宋体" w:cs="宋体"/>
                <w:i w:val="0"/>
                <w:iCs w:val="0"/>
                <w:caps w:val="0"/>
                <w:color w:val="676767"/>
                <w:spacing w:val="0"/>
                <w:sz w:val="22"/>
                <w:szCs w:val="22"/>
              </w:rPr>
              <w:br w:type="textWrapping"/>
            </w:r>
            <w:r>
              <w:rPr>
                <w:rFonts w:hint="eastAsia" w:ascii="宋体" w:hAnsi="宋体" w:eastAsia="宋体" w:cs="宋体"/>
                <w:i w:val="0"/>
                <w:iCs w:val="0"/>
                <w:caps w:val="0"/>
                <w:color w:val="000000"/>
                <w:spacing w:val="0"/>
                <w:sz w:val="22"/>
                <w:szCs w:val="22"/>
              </w:rPr>
              <w:t>    </w:t>
            </w:r>
          </w:p>
          <w:p>
            <w:pPr>
              <w:pStyle w:val="2"/>
              <w:keepNext w:val="0"/>
              <w:keepLines w:val="0"/>
              <w:widowControl/>
              <w:suppressLineNumbers w:val="0"/>
              <w:wordWrap/>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年     月     日</w:t>
            </w:r>
          </w:p>
        </w:tc>
        <w:tc>
          <w:tcPr>
            <w:tcW w:w="4193"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税务机关负责人意见：</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签字</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
              <w:keepNext w:val="0"/>
              <w:keepLines w:val="0"/>
              <w:widowControl/>
              <w:suppressLineNumbers w:val="0"/>
              <w:wordWrap/>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年     月     日（公章）</w:t>
            </w:r>
          </w:p>
        </w:tc>
      </w:tr>
    </w:tbl>
    <w:p>
      <w:pPr>
        <w:pStyle w:val="2"/>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676767"/>
          <w:spacing w:val="0"/>
          <w:sz w:val="19"/>
          <w:szCs w:val="19"/>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黑体" w:hAnsi="宋体" w:eastAsia="黑体" w:cs="黑体"/>
          <w:i w:val="0"/>
          <w:iCs w:val="0"/>
          <w:caps w:val="0"/>
          <w:color w:val="676767"/>
          <w:spacing w:val="0"/>
          <w:sz w:val="31"/>
          <w:szCs w:val="31"/>
        </w:rPr>
      </w:pPr>
      <w:r>
        <w:rPr>
          <w:rFonts w:hint="eastAsia" w:ascii="黑体" w:hAnsi="宋体" w:eastAsia="黑体" w:cs="黑体"/>
          <w:i w:val="0"/>
          <w:iCs w:val="0"/>
          <w:caps w:val="0"/>
          <w:color w:val="676767"/>
          <w:spacing w:val="0"/>
          <w:sz w:val="31"/>
          <w:szCs w:val="31"/>
          <w:shd w:val="clear" w:fill="FFFFFF"/>
        </w:rPr>
        <w:t>《退（抵）税申请表》填表说明</w:t>
      </w:r>
    </w:p>
    <w:p>
      <w:pPr>
        <w:pStyle w:val="2"/>
        <w:keepNext w:val="0"/>
        <w:keepLines w:val="0"/>
        <w:widowControl/>
        <w:suppressLineNumbers w:val="0"/>
        <w:shd w:val="clear" w:fill="FFFFFF"/>
        <w:spacing w:before="0" w:beforeAutospacing="0" w:after="0" w:afterAutospacing="0"/>
        <w:ind w:left="0" w:right="0" w:firstLine="0"/>
        <w:jc w:val="both"/>
        <w:rPr>
          <w:rFonts w:ascii="仿宋_GB2312" w:eastAsia="仿宋_GB2312" w:cs="仿宋_GB2312"/>
          <w:i w:val="0"/>
          <w:iCs w:val="0"/>
          <w:caps w:val="0"/>
          <w:color w:val="676767"/>
          <w:spacing w:val="0"/>
          <w:sz w:val="31"/>
          <w:szCs w:val="31"/>
        </w:rPr>
      </w:pP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一、本表适用于办理汇算结算、误收税款退税、留抵退税。</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二、纳税人退税账户与原缴税账户不一致的，须另行提交资料，并经税务机关确认。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三、本表一式四联，纳税人一联、税务机关三联。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四、申请人名称：填写纳税人或扣缴义务人名称。如申请留抵退税，应填写纳税人名称。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五、申请人身份：选择“纳税人”或“扣缴义务人”。如申请留抵退税，应选择“纳税人”。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六、纳税人名称：填写税务登记证所载纳税人的全称。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七、统一社会信用代码(纳税人识别号)：填写纳税人统一社会信用代码或税务机关统一核发的税务登记证号码。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八、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九、申请退税金额：填写与汇算结算和误收税款退税相关的申请退（抵）税的金额，应小于等于原完税情况实缴金额合计。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十、增量留抵税额大于零，且申请退税前连续 12 个月（或实际经营期至少 3 个月）生产并销售“非金属矿物制品”“通用设备”“专用设备”“计算机、通信和其他电子设备”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“医药”“化学纤维”“铁路、船舶、航空航天和其他运输设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备”“电气机械和器材”“仪器仪表”销售额占全部销售额的比重超过 50%：根据实际情况，选择“是”或“否”。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十一、</w:t>
      </w:r>
      <w:r>
        <w:rPr>
          <w:rFonts w:hint="eastAsia" w:ascii="仿宋" w:hAnsi="仿宋" w:eastAsia="仿宋" w:cs="仿宋"/>
          <w:i w:val="0"/>
          <w:iCs w:val="0"/>
          <w:caps w:val="0"/>
          <w:color w:val="000000"/>
          <w:spacing w:val="0"/>
          <w:sz w:val="22"/>
          <w:szCs w:val="22"/>
          <w:u w:val="single"/>
        </w:rPr>
        <w:t>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xml:space="preserve">  </w:t>
      </w:r>
      <w:r>
        <w:rPr>
          <w:rFonts w:hint="eastAsia" w:ascii="仿宋_GB2312" w:hAnsi="仿宋_GB2312" w:eastAsia="仿宋_GB2312" w:cs="仿宋_GB2312"/>
          <w:color w:val="000000"/>
          <w:kern w:val="0"/>
          <w:sz w:val="31"/>
          <w:szCs w:val="31"/>
          <w:lang w:val="en-US" w:eastAsia="zh-CN" w:bidi="ar"/>
        </w:rPr>
        <w:t>年</w:t>
      </w:r>
      <w:r>
        <w:rPr>
          <w:rFonts w:hint="eastAsia" w:ascii="仿宋" w:hAnsi="仿宋" w:eastAsia="仿宋" w:cs="仿宋"/>
          <w:i w:val="0"/>
          <w:iCs w:val="0"/>
          <w:caps w:val="0"/>
          <w:color w:val="000000"/>
          <w:spacing w:val="0"/>
          <w:sz w:val="22"/>
          <w:szCs w:val="22"/>
          <w:u w:val="single"/>
        </w:rPr>
        <w:t xml:space="preserve">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w:t>
      </w:r>
      <w:r>
        <w:rPr>
          <w:rFonts w:hint="eastAsia" w:ascii="仿宋_GB2312" w:hAnsi="仿宋_GB2312" w:eastAsia="仿宋_GB2312" w:cs="仿宋_GB2312"/>
          <w:color w:val="000000"/>
          <w:kern w:val="0"/>
          <w:sz w:val="31"/>
          <w:szCs w:val="31"/>
          <w:lang w:val="en-US" w:eastAsia="zh-CN" w:bidi="ar"/>
        </w:rPr>
        <w:t>月至</w:t>
      </w:r>
      <w:r>
        <w:rPr>
          <w:rFonts w:hint="eastAsia" w:ascii="仿宋" w:hAnsi="仿宋" w:eastAsia="仿宋" w:cs="仿宋"/>
          <w:i w:val="0"/>
          <w:iCs w:val="0"/>
          <w:caps w:val="0"/>
          <w:color w:val="000000"/>
          <w:spacing w:val="0"/>
          <w:sz w:val="22"/>
          <w:szCs w:val="22"/>
          <w:u w:val="single"/>
        </w:rPr>
        <w:t>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xml:space="preserve">  </w:t>
      </w:r>
      <w:r>
        <w:rPr>
          <w:rFonts w:hint="eastAsia" w:ascii="仿宋_GB2312" w:hAnsi="仿宋_GB2312" w:eastAsia="仿宋_GB2312" w:cs="仿宋_GB2312"/>
          <w:color w:val="000000"/>
          <w:kern w:val="0"/>
          <w:sz w:val="31"/>
          <w:szCs w:val="31"/>
          <w:lang w:val="en-US" w:eastAsia="zh-CN" w:bidi="ar"/>
        </w:rPr>
        <w:t>年</w:t>
      </w:r>
      <w:r>
        <w:rPr>
          <w:rFonts w:hint="eastAsia" w:ascii="仿宋" w:hAnsi="仿宋" w:eastAsia="仿宋" w:cs="仿宋"/>
          <w:i w:val="0"/>
          <w:iCs w:val="0"/>
          <w:caps w:val="0"/>
          <w:color w:val="000000"/>
          <w:spacing w:val="0"/>
          <w:sz w:val="22"/>
          <w:szCs w:val="22"/>
          <w:u w:val="single"/>
        </w:rPr>
        <w:t>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xml:space="preserve">  </w:t>
      </w:r>
      <w:r>
        <w:rPr>
          <w:rFonts w:hint="eastAsia" w:ascii="仿宋_GB2312" w:hAnsi="仿宋_GB2312" w:eastAsia="仿宋_GB2312" w:cs="仿宋_GB2312"/>
          <w:color w:val="000000"/>
          <w:kern w:val="0"/>
          <w:sz w:val="31"/>
          <w:szCs w:val="31"/>
          <w:lang w:val="en-US" w:eastAsia="zh-CN" w:bidi="ar"/>
        </w:rPr>
        <w:t>月生产</w:t>
      </w:r>
      <w:r>
        <w:rPr>
          <w:rFonts w:ascii="仿宋_GB2312" w:hAnsi="仿宋_GB2312" w:eastAsia="仿宋_GB2312" w:cs="仿宋_GB2312"/>
          <w:color w:val="000000"/>
          <w:kern w:val="0"/>
          <w:sz w:val="31"/>
          <w:szCs w:val="31"/>
          <w:lang w:val="en-US" w:eastAsia="zh-CN" w:bidi="ar"/>
        </w:rPr>
        <w:t xml:space="preserve">并销售“非金属矿物制品”“通用设备”“专用设备”“计算机、通信和其他电子设备”“医药”“化学纤维”“铁路、船舶、航空航天和其他运输设备”“电气机械和器材”“仪器仪表”销售额 </w:t>
      </w:r>
      <w:r>
        <w:rPr>
          <w:rFonts w:hint="eastAsia" w:ascii="仿宋" w:hAnsi="仿宋" w:eastAsia="仿宋" w:cs="仿宋"/>
          <w:i w:val="0"/>
          <w:iCs w:val="0"/>
          <w:caps w:val="0"/>
          <w:color w:val="000000"/>
          <w:spacing w:val="0"/>
          <w:sz w:val="22"/>
          <w:szCs w:val="22"/>
          <w:u w:val="single"/>
        </w:rPr>
        <w:t>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xml:space="preserve">  </w:t>
      </w:r>
      <w:r>
        <w:rPr>
          <w:rFonts w:ascii="仿宋_GB2312" w:hAnsi="仿宋_GB2312" w:eastAsia="仿宋_GB2312" w:cs="仿宋_GB2312"/>
          <w:color w:val="000000"/>
          <w:kern w:val="0"/>
          <w:sz w:val="31"/>
          <w:szCs w:val="31"/>
          <w:lang w:val="en-US" w:eastAsia="zh-CN" w:bidi="ar"/>
        </w:rPr>
        <w:t xml:space="preserve">，同期全部销售额 </w:t>
      </w:r>
      <w:r>
        <w:rPr>
          <w:rFonts w:hint="eastAsia" w:ascii="仿宋" w:hAnsi="仿宋" w:eastAsia="仿宋" w:cs="仿宋"/>
          <w:i w:val="0"/>
          <w:iCs w:val="0"/>
          <w:caps w:val="0"/>
          <w:color w:val="000000"/>
          <w:spacing w:val="0"/>
          <w:sz w:val="22"/>
          <w:szCs w:val="22"/>
          <w:u w:val="single"/>
        </w:rPr>
        <w:t>   </w:t>
      </w:r>
      <w:r>
        <w:rPr>
          <w:rFonts w:hint="eastAsia" w:ascii="仿宋" w:hAnsi="仿宋" w:eastAsia="仿宋" w:cs="仿宋"/>
          <w:i w:val="0"/>
          <w:iCs w:val="0"/>
          <w:caps w:val="0"/>
          <w:color w:val="000000"/>
          <w:spacing w:val="0"/>
          <w:sz w:val="22"/>
          <w:szCs w:val="22"/>
          <w:u w:val="single"/>
          <w:lang w:val="en-US" w:eastAsia="zh-CN"/>
        </w:rPr>
        <w:t xml:space="preserve">  </w:t>
      </w:r>
      <w:r>
        <w:rPr>
          <w:rFonts w:hint="eastAsia" w:ascii="仿宋" w:hAnsi="仿宋" w:eastAsia="仿宋" w:cs="仿宋"/>
          <w:i w:val="0"/>
          <w:iCs w:val="0"/>
          <w:caps w:val="0"/>
          <w:color w:val="000000"/>
          <w:spacing w:val="0"/>
          <w:sz w:val="22"/>
          <w:szCs w:val="22"/>
          <w:u w:val="single"/>
        </w:rPr>
        <w:t xml:space="preserve">  </w:t>
      </w:r>
      <w:r>
        <w:rPr>
          <w:rFonts w:ascii="仿宋_GB2312" w:hAnsi="仿宋_GB2312" w:eastAsia="仿宋_GB2312" w:cs="仿宋_GB2312"/>
          <w:color w:val="000000"/>
          <w:kern w:val="0"/>
          <w:sz w:val="31"/>
          <w:szCs w:val="31"/>
          <w:lang w:val="en-US" w:eastAsia="zh-CN" w:bidi="ar"/>
        </w:rPr>
        <w:t xml:space="preserve">，占比%。：如十三选“是”，填写本栏。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如申请退税前经营期满 12 个月，本栏起止时间填写申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请退税前 12 个月的起止时间；本栏销售额填写申请退税前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12 个月对应项目的销售额。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如申请退税前经营期不满 12 个月但满 3 个月的，本栏起止时间填写实际经营期的起止时间；本栏销售额填写实际经营期对应项目的销售额。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十二、连续六个月（按季纳税的，连续两个季度）增量留抵税额均大于零的起止时间：如十三选“否”，填写本栏。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本栏填写纳税人自 2019 年 4 月税款所属期起，连续六个月（按季纳税的，连续两个季度）增量留抵税额均大于零，且第六个月增量留抵税额不低于 50 万元的起止时间。十三、申请退税前 36 个月未发生骗取留抵退税、出口退税或虚开增值税专用发票情形，申请退税前 36 个月未因偷税被税务机关处罚两次及以上，自 2019 年 4 月 1 日起未享受即征即退、先征后返（退）政策，出口货物劳务、发生跨境应税行为，适用免抵退税办法：根据实际情况，选择“是”或“否”。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十四、本期已申报免抵退税应退税额：填写享受免抵退税政策的纳税人本期申请退还的免抵退税额。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十五、2019 年 4 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 2 年抵扣后一次性转入的进项税额，视同取得增值税专用发票抵扣的进项税额，也填入本项。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十六、2019 年 4 月至申请退税前一税款所属期已抵扣的海关进口增值税专用缴款书注明的增值税额：填写纳税人对应属期抵扣的海关进口增值税专用缴款书注明的增值税额。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十七、2019 年 4 月至申请退税前一税款所属期已抵扣的解缴税款完税凭证注明的增值税额：填写纳税人对应属期抵扣的解缴税款完税凭证注明的增值税额。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十八、2019 年 4 月至申请退税前一税款所属期全部已抵扣的进项税额：填写纳税人对应属期全部已抵扣进项税额。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十九、本期申请退还的增量留抵税额：填写纳税人按照增量留抵税额×进项构成比例×60%计算后的本期申请退还的增量留抵税额。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进项构成比例=〔2019 年 4 月至申请退税前一税款所属期已抵扣的增值税专用发票（含税控机动车销售统一发票）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注明的增值税额+2019 年 4 月至申请退税前一税款所属期已抵扣的海关进口增值税专用缴款书注明的增值税额+2019 年4 月至申请退税前一税款所属期已抵扣的解缴税款完税凭证注明的增值税额〕÷2019 年 4 月至申请退税前一税款所属期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全部已抵扣的进项税额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二十、退税申请理由：简要概述退税申请理由，如果本次退税账户与原缴税账户不一致，需在此说明，并须另行提交资料，经税务机关确认。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二十一、受理情况：填写核对接受纳税人、扣缴义务人资料的情况。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十二、退还方式：申请汇算结算或误收税款退税的，退还方式可以单选或多选，对于有欠税的纳税人，一般情况应选择“抵扣欠税”，对于选择“抵扣欠税”情况，可以取消该选择，将全部申请退税的金额，以“退库”方式办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申请留抵退税的，可同时选择“退库”和“抵扣欠税”。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如果纳税人既有增值税欠税，又有期末留抵税额，按照《国家税务总局关于办理增值税期末留抵税额退税有关事项的公告》（国家税务总局公告 2019 年第 20 号）第九条第三项规定，以最近一期增值税纳税申报表期末留抵税额，抵减增值税欠税后的余额确定允许退还的增量留抵税额。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二十三、退税类型：税务机关依据纳税人申请事项，选择“汇算结算退税”、“误收退税”或“留抵退税”。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二十四、退税发起方式：纳税人申请汇算结算或误收税款退税的，税务机关选择“纳税人自行申请”或“税务机关发现并通知”；纳税人申请留抵退税的，税务机关选择“纳税人自行申请”。 </w:t>
      </w:r>
    </w:p>
    <w:p>
      <w:pPr>
        <w:keepNext w:val="0"/>
        <w:keepLines w:val="0"/>
        <w:widowControl/>
        <w:suppressLineNumbers w:val="0"/>
        <w:jc w:val="left"/>
        <w:rPr>
          <w:rFonts w:hint="default" w:ascii="仿宋_GB2312" w:eastAsia="仿宋_GB2312" w:cs="仿宋_GB2312"/>
          <w:i w:val="0"/>
          <w:iCs w:val="0"/>
          <w:caps w:val="0"/>
          <w:color w:val="676767"/>
          <w:spacing w:val="0"/>
          <w:sz w:val="31"/>
          <w:szCs w:val="31"/>
        </w:rPr>
      </w:pPr>
      <w:r>
        <w:rPr>
          <w:rFonts w:ascii="仿宋_GB2312" w:hAnsi="仿宋_GB2312" w:eastAsia="仿宋_GB2312" w:cs="仿宋_GB2312"/>
          <w:color w:val="000000"/>
          <w:kern w:val="0"/>
          <w:sz w:val="31"/>
          <w:szCs w:val="31"/>
          <w:lang w:val="en-US" w:eastAsia="zh-CN" w:bidi="ar"/>
        </w:rPr>
        <w:t>二十五、退（抵）税金额：填写税务机关核准后的退（抵）</w:t>
      </w:r>
      <w:bookmarkStart w:id="0" w:name="_GoBack"/>
      <w:bookmarkEnd w:id="0"/>
      <w:r>
        <w:rPr>
          <w:rFonts w:ascii="仿宋_GB2312" w:hAnsi="仿宋_GB2312" w:eastAsia="仿宋_GB2312" w:cs="仿宋_GB2312"/>
          <w:color w:val="000000"/>
          <w:kern w:val="0"/>
          <w:sz w:val="31"/>
          <w:szCs w:val="31"/>
          <w:lang w:val="en-US" w:eastAsia="zh-CN" w:bidi="ar"/>
        </w:rPr>
        <w:t>税额</w:t>
      </w:r>
      <w:r>
        <w:rPr>
          <w:rFonts w:hint="eastAsia" w:ascii="仿宋_GB2312" w:hAnsi="仿宋_GB2312" w:eastAsia="仿宋_GB2312" w:cs="仿宋_GB2312"/>
          <w:color w:val="000000"/>
          <w:kern w:val="0"/>
          <w:sz w:val="31"/>
          <w:szCs w:val="31"/>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72E57"/>
    <w:rsid w:val="0F816721"/>
    <w:rsid w:val="1B072E57"/>
    <w:rsid w:val="1B785530"/>
    <w:rsid w:val="2701732E"/>
    <w:rsid w:val="58EA7474"/>
    <w:rsid w:val="67587862"/>
    <w:rsid w:val="7E03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3060</Words>
  <Characters>3128</Characters>
  <Lines>0</Lines>
  <Paragraphs>0</Paragraphs>
  <TotalTime>5</TotalTime>
  <ScaleCrop>false</ScaleCrop>
  <LinksUpToDate>false</LinksUpToDate>
  <CharactersWithSpaces>3633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2021-09-27T07:34:00Z</dcterms:created>
  <dc:creator>心静如水</dc:creator>
  <cp:lastModifiedBy>宁月</cp:lastModifiedBy>
  <dcterms:modified xsi:type="dcterms:W3CDTF">2021-10-26T08:09:14Z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A2EBF53CE3974F6F8775AB60B36E3DB0</vt:lpwstr>
  </property>
</Properties>
</file>